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1B" w:rsidRDefault="00F9531B" w:rsidP="00F9531B">
      <w:pPr>
        <w:pStyle w:val="a3"/>
        <w:rPr>
          <w:sz w:val="34"/>
        </w:rPr>
      </w:pPr>
      <w:r>
        <w:rPr>
          <w:noProof/>
        </w:rPr>
        <w:drawing>
          <wp:inline distT="0" distB="0" distL="0" distR="0">
            <wp:extent cx="492125" cy="6153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1B" w:rsidRDefault="00F9531B" w:rsidP="00F9531B">
      <w:pPr>
        <w:pStyle w:val="a3"/>
        <w:rPr>
          <w:sz w:val="34"/>
        </w:rPr>
      </w:pPr>
    </w:p>
    <w:p w:rsidR="00F9531B" w:rsidRDefault="00F9531B" w:rsidP="00F953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F9531B" w:rsidRDefault="00306FF1" w:rsidP="00F953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МИХАЙЛОВСКОГО </w:t>
      </w:r>
      <w:r w:rsidR="00F9531B">
        <w:rPr>
          <w:b/>
          <w:sz w:val="32"/>
          <w:szCs w:val="32"/>
        </w:rPr>
        <w:t>РАЙОНА</w:t>
      </w:r>
    </w:p>
    <w:p w:rsidR="00F9531B" w:rsidRDefault="00F9531B" w:rsidP="00F9531B">
      <w:pPr>
        <w:jc w:val="center"/>
        <w:rPr>
          <w:b/>
          <w:sz w:val="28"/>
          <w:szCs w:val="28"/>
        </w:rPr>
      </w:pPr>
    </w:p>
    <w:p w:rsidR="00F9531B" w:rsidRDefault="00F9531B" w:rsidP="00F9531B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Е Н И Е</w:t>
      </w:r>
    </w:p>
    <w:p w:rsidR="00F9531B" w:rsidRDefault="00F9531B" w:rsidP="00F9531B">
      <w:pPr>
        <w:jc w:val="center"/>
        <w:rPr>
          <w:sz w:val="28"/>
          <w:szCs w:val="28"/>
        </w:rPr>
      </w:pPr>
    </w:p>
    <w:p w:rsidR="00F9531B" w:rsidRDefault="0082641A" w:rsidP="00F9531B">
      <w:pPr>
        <w:rPr>
          <w:sz w:val="28"/>
        </w:rPr>
      </w:pPr>
      <w:r>
        <w:rPr>
          <w:sz w:val="28"/>
          <w:szCs w:val="28"/>
        </w:rPr>
        <w:t>02.03.2015</w:t>
      </w:r>
      <w:r w:rsidR="00F9531B">
        <w:rPr>
          <w:sz w:val="28"/>
          <w:szCs w:val="28"/>
        </w:rPr>
        <w:tab/>
      </w:r>
      <w:r w:rsidR="00F9531B">
        <w:rPr>
          <w:sz w:val="28"/>
          <w:szCs w:val="28"/>
        </w:rPr>
        <w:tab/>
      </w:r>
      <w:r w:rsidR="00F9531B">
        <w:rPr>
          <w:sz w:val="28"/>
          <w:szCs w:val="28"/>
        </w:rPr>
        <w:tab/>
        <w:t xml:space="preserve">     с.</w:t>
      </w:r>
      <w:r w:rsidR="00306FF1">
        <w:rPr>
          <w:sz w:val="28"/>
          <w:szCs w:val="28"/>
        </w:rPr>
        <w:t xml:space="preserve"> Михайловка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     </w:t>
      </w:r>
      <w:r w:rsidR="00F9531B">
        <w:rPr>
          <w:sz w:val="28"/>
          <w:szCs w:val="28"/>
        </w:rPr>
        <w:t xml:space="preserve"> </w:t>
      </w:r>
      <w:r>
        <w:rPr>
          <w:sz w:val="28"/>
          <w:szCs w:val="28"/>
        </w:rPr>
        <w:t>431/86</w:t>
      </w:r>
    </w:p>
    <w:p w:rsidR="00F9531B" w:rsidRDefault="00F9531B" w:rsidP="00F9531B">
      <w:pPr>
        <w:rPr>
          <w:sz w:val="28"/>
        </w:rPr>
      </w:pPr>
    </w:p>
    <w:p w:rsidR="00F9531B" w:rsidRDefault="00F9531B" w:rsidP="00F9531B">
      <w:pPr>
        <w:rPr>
          <w:rStyle w:val="a5"/>
          <w:b w:val="0"/>
          <w:bCs w:val="0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Об установлении объема сведений </w:t>
      </w:r>
    </w:p>
    <w:p w:rsidR="00306FF1" w:rsidRDefault="00F9531B" w:rsidP="00306FF1">
      <w:pPr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о кандидатах на должность главы</w:t>
      </w:r>
    </w:p>
    <w:p w:rsidR="00306FF1" w:rsidRDefault="00306FF1" w:rsidP="00306FF1">
      <w:pPr>
        <w:rPr>
          <w:rStyle w:val="a5"/>
          <w:b w:val="0"/>
          <w:bCs w:val="0"/>
          <w:sz w:val="28"/>
          <w:szCs w:val="28"/>
        </w:rPr>
      </w:pPr>
      <w:proofErr w:type="spellStart"/>
      <w:r>
        <w:rPr>
          <w:rStyle w:val="a5"/>
          <w:b w:val="0"/>
          <w:bCs w:val="0"/>
          <w:sz w:val="28"/>
          <w:szCs w:val="28"/>
        </w:rPr>
        <w:t>Новошахтинского</w:t>
      </w:r>
      <w:proofErr w:type="spellEnd"/>
      <w:r>
        <w:rPr>
          <w:rStyle w:val="a5"/>
          <w:b w:val="0"/>
          <w:bCs w:val="0"/>
          <w:sz w:val="28"/>
          <w:szCs w:val="28"/>
        </w:rPr>
        <w:t xml:space="preserve"> городского</w:t>
      </w:r>
    </w:p>
    <w:p w:rsidR="00F9531B" w:rsidRDefault="00306FF1" w:rsidP="00F9531B">
      <w:pPr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поселен</w:t>
      </w:r>
      <w:r w:rsidR="0082641A">
        <w:rPr>
          <w:rStyle w:val="a5"/>
          <w:b w:val="0"/>
          <w:bCs w:val="0"/>
          <w:sz w:val="28"/>
          <w:szCs w:val="28"/>
        </w:rPr>
        <w:t>и</w:t>
      </w:r>
      <w:r>
        <w:rPr>
          <w:rStyle w:val="a5"/>
          <w:b w:val="0"/>
          <w:bCs w:val="0"/>
          <w:sz w:val="28"/>
          <w:szCs w:val="28"/>
        </w:rPr>
        <w:t>я</w:t>
      </w:r>
      <w:r w:rsidR="00F9531B">
        <w:rPr>
          <w:rStyle w:val="a5"/>
          <w:b w:val="0"/>
          <w:bCs w:val="0"/>
          <w:sz w:val="28"/>
          <w:szCs w:val="28"/>
        </w:rPr>
        <w:t xml:space="preserve">, </w:t>
      </w:r>
      <w:proofErr w:type="gramStart"/>
      <w:r w:rsidR="00F9531B">
        <w:rPr>
          <w:rStyle w:val="a5"/>
          <w:b w:val="0"/>
          <w:bCs w:val="0"/>
          <w:sz w:val="28"/>
          <w:szCs w:val="28"/>
        </w:rPr>
        <w:t>представленных</w:t>
      </w:r>
      <w:proofErr w:type="gramEnd"/>
      <w:r w:rsidR="00F9531B">
        <w:rPr>
          <w:rStyle w:val="a5"/>
          <w:b w:val="0"/>
          <w:bCs w:val="0"/>
          <w:sz w:val="28"/>
          <w:szCs w:val="28"/>
        </w:rPr>
        <w:t xml:space="preserve"> </w:t>
      </w:r>
    </w:p>
    <w:p w:rsidR="00F9531B" w:rsidRDefault="00F9531B" w:rsidP="00F9531B">
      <w:pPr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при их выдвижении, подлежащих доведению</w:t>
      </w:r>
    </w:p>
    <w:p w:rsidR="00F9531B" w:rsidRDefault="00F9531B" w:rsidP="00F9531B">
      <w:pPr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до сведения избирателей при проведении </w:t>
      </w:r>
    </w:p>
    <w:p w:rsidR="00F9531B" w:rsidRDefault="00F9531B" w:rsidP="00306FF1">
      <w:pPr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досрочных выборов главы </w:t>
      </w:r>
      <w:proofErr w:type="spellStart"/>
      <w:r w:rsidR="00306FF1">
        <w:rPr>
          <w:rStyle w:val="a5"/>
          <w:b w:val="0"/>
          <w:bCs w:val="0"/>
          <w:sz w:val="28"/>
          <w:szCs w:val="28"/>
        </w:rPr>
        <w:t>Новошахтинского</w:t>
      </w:r>
      <w:proofErr w:type="spellEnd"/>
    </w:p>
    <w:p w:rsidR="0082641A" w:rsidRDefault="0082641A" w:rsidP="00F9531B">
      <w:pPr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г</w:t>
      </w:r>
      <w:r w:rsidR="00306FF1">
        <w:rPr>
          <w:rStyle w:val="a5"/>
          <w:b w:val="0"/>
          <w:bCs w:val="0"/>
          <w:sz w:val="28"/>
          <w:szCs w:val="28"/>
        </w:rPr>
        <w:t>ор</w:t>
      </w:r>
      <w:r>
        <w:rPr>
          <w:rStyle w:val="a5"/>
          <w:b w:val="0"/>
          <w:bCs w:val="0"/>
          <w:sz w:val="28"/>
          <w:szCs w:val="28"/>
        </w:rPr>
        <w:t>о</w:t>
      </w:r>
      <w:r w:rsidR="00306FF1">
        <w:rPr>
          <w:rStyle w:val="a5"/>
          <w:b w:val="0"/>
          <w:bCs w:val="0"/>
          <w:sz w:val="28"/>
          <w:szCs w:val="28"/>
        </w:rPr>
        <w:t>дского поселения</w:t>
      </w:r>
      <w:r>
        <w:rPr>
          <w:rStyle w:val="a5"/>
          <w:b w:val="0"/>
          <w:bCs w:val="0"/>
          <w:sz w:val="28"/>
          <w:szCs w:val="28"/>
        </w:rPr>
        <w:t xml:space="preserve"> Михайловского</w:t>
      </w:r>
    </w:p>
    <w:p w:rsidR="00306FF1" w:rsidRDefault="0082641A" w:rsidP="00F9531B">
      <w:pPr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муниципального района</w:t>
      </w:r>
      <w:r w:rsidR="00306FF1">
        <w:rPr>
          <w:rStyle w:val="a5"/>
          <w:b w:val="0"/>
          <w:bCs w:val="0"/>
          <w:sz w:val="28"/>
          <w:szCs w:val="28"/>
        </w:rPr>
        <w:t>,</w:t>
      </w:r>
      <w:r>
        <w:rPr>
          <w:rStyle w:val="a5"/>
          <w:b w:val="0"/>
          <w:bCs w:val="0"/>
          <w:sz w:val="28"/>
          <w:szCs w:val="28"/>
        </w:rPr>
        <w:t xml:space="preserve"> </w:t>
      </w:r>
      <w:r w:rsidR="00306FF1">
        <w:rPr>
          <w:rStyle w:val="a5"/>
          <w:b w:val="0"/>
          <w:bCs w:val="0"/>
          <w:sz w:val="28"/>
          <w:szCs w:val="28"/>
        </w:rPr>
        <w:t xml:space="preserve"> </w:t>
      </w:r>
      <w:proofErr w:type="gramStart"/>
      <w:r w:rsidR="00306FF1">
        <w:rPr>
          <w:rStyle w:val="a5"/>
          <w:b w:val="0"/>
          <w:bCs w:val="0"/>
          <w:sz w:val="28"/>
          <w:szCs w:val="28"/>
        </w:rPr>
        <w:t>назначенных</w:t>
      </w:r>
      <w:proofErr w:type="gramEnd"/>
    </w:p>
    <w:p w:rsidR="00F9531B" w:rsidRDefault="00F9531B" w:rsidP="00F9531B">
      <w:pPr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на 1</w:t>
      </w:r>
      <w:r w:rsidR="00306FF1">
        <w:rPr>
          <w:rStyle w:val="a5"/>
          <w:b w:val="0"/>
          <w:bCs w:val="0"/>
          <w:sz w:val="28"/>
          <w:szCs w:val="28"/>
        </w:rPr>
        <w:t xml:space="preserve">7 </w:t>
      </w:r>
      <w:r>
        <w:rPr>
          <w:rStyle w:val="a5"/>
          <w:b w:val="0"/>
          <w:bCs w:val="0"/>
          <w:sz w:val="28"/>
          <w:szCs w:val="28"/>
        </w:rPr>
        <w:t>ма</w:t>
      </w:r>
      <w:r w:rsidR="00306FF1">
        <w:rPr>
          <w:rStyle w:val="a5"/>
          <w:b w:val="0"/>
          <w:bCs w:val="0"/>
          <w:sz w:val="28"/>
          <w:szCs w:val="28"/>
        </w:rPr>
        <w:t xml:space="preserve">я </w:t>
      </w:r>
      <w:r>
        <w:rPr>
          <w:rStyle w:val="a5"/>
          <w:b w:val="0"/>
          <w:bCs w:val="0"/>
          <w:sz w:val="28"/>
          <w:szCs w:val="28"/>
        </w:rPr>
        <w:t xml:space="preserve"> 2015 года</w:t>
      </w:r>
    </w:p>
    <w:p w:rsidR="00F9531B" w:rsidRDefault="00F9531B" w:rsidP="00F9531B">
      <w:pPr>
        <w:rPr>
          <w:rStyle w:val="a5"/>
          <w:b w:val="0"/>
          <w:bCs w:val="0"/>
          <w:sz w:val="28"/>
          <w:szCs w:val="28"/>
        </w:rPr>
      </w:pPr>
    </w:p>
    <w:p w:rsidR="00F9531B" w:rsidRDefault="00F9531B" w:rsidP="00F9531B">
      <w:pPr>
        <w:suppressAutoHyphens/>
      </w:pPr>
    </w:p>
    <w:p w:rsidR="00F9531B" w:rsidRDefault="00F9531B" w:rsidP="0082641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7 статьи 33 Федерального закона «Об основных гарантиях избирательных прав и права на участие в референдуме граждан Российской Федерации», частью 9 статьи 39 Избирательного кодекса Приморского края  территориальная избирательная комиссия </w:t>
      </w:r>
      <w:r w:rsidR="00306FF1">
        <w:rPr>
          <w:sz w:val="28"/>
          <w:szCs w:val="28"/>
        </w:rPr>
        <w:t xml:space="preserve"> Михайловского </w:t>
      </w:r>
      <w:r>
        <w:rPr>
          <w:sz w:val="28"/>
          <w:szCs w:val="28"/>
        </w:rPr>
        <w:t>района.</w:t>
      </w:r>
    </w:p>
    <w:p w:rsidR="00F9531B" w:rsidRDefault="00F9531B" w:rsidP="0082641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9531B" w:rsidRDefault="00F9531B" w:rsidP="008264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 Установить объем сведений о кандидатах  на должность главы </w:t>
      </w:r>
      <w:proofErr w:type="spellStart"/>
      <w:r w:rsidR="00306FF1">
        <w:rPr>
          <w:sz w:val="28"/>
          <w:szCs w:val="28"/>
        </w:rPr>
        <w:t>Новошахтинского</w:t>
      </w:r>
      <w:proofErr w:type="spellEnd"/>
      <w:r w:rsidR="00306FF1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поселения, представленных при их выдвижении, подлежащих доведению до сведения избирателей при проведении досрочных выборов главы </w:t>
      </w:r>
      <w:proofErr w:type="spellStart"/>
      <w:r w:rsidR="00306FF1">
        <w:rPr>
          <w:sz w:val="28"/>
          <w:szCs w:val="28"/>
        </w:rPr>
        <w:t>Новошахтинского</w:t>
      </w:r>
      <w:proofErr w:type="spellEnd"/>
      <w:r w:rsidR="00306FF1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поселения</w:t>
      </w:r>
      <w:r w:rsidR="0082641A">
        <w:rPr>
          <w:sz w:val="28"/>
          <w:szCs w:val="28"/>
        </w:rPr>
        <w:t xml:space="preserve"> Михайловского муниципального района Приморского края</w:t>
      </w:r>
      <w:r>
        <w:rPr>
          <w:sz w:val="28"/>
          <w:szCs w:val="28"/>
        </w:rPr>
        <w:t>, назначенных на 1</w:t>
      </w:r>
      <w:r w:rsidR="00306FF1">
        <w:rPr>
          <w:sz w:val="28"/>
          <w:szCs w:val="28"/>
        </w:rPr>
        <w:t xml:space="preserve">7 мая </w:t>
      </w:r>
      <w:r>
        <w:rPr>
          <w:sz w:val="28"/>
          <w:szCs w:val="28"/>
        </w:rPr>
        <w:t>2015 года (прилагается).</w:t>
      </w:r>
    </w:p>
    <w:p w:rsidR="00F9531B" w:rsidRDefault="00F9531B" w:rsidP="008264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</w:t>
      </w:r>
      <w:r w:rsidR="00306FF1">
        <w:rPr>
          <w:sz w:val="28"/>
          <w:szCs w:val="28"/>
        </w:rPr>
        <w:t>оящее решение на официальных сайтах</w:t>
      </w:r>
      <w:r>
        <w:rPr>
          <w:sz w:val="28"/>
          <w:szCs w:val="28"/>
        </w:rPr>
        <w:t xml:space="preserve"> Избирательной комиссии Приморского края, </w:t>
      </w:r>
      <w:r w:rsidR="00306FF1">
        <w:rPr>
          <w:sz w:val="28"/>
          <w:szCs w:val="28"/>
        </w:rPr>
        <w:t>территориальной избирательной комиссии Михайловского района.</w:t>
      </w:r>
    </w:p>
    <w:p w:rsidR="00F9531B" w:rsidRDefault="00F9531B" w:rsidP="0082641A">
      <w:pPr>
        <w:pStyle w:val="-14"/>
        <w:spacing w:line="276" w:lineRule="auto"/>
        <w:ind w:firstLine="0"/>
      </w:pPr>
    </w:p>
    <w:tbl>
      <w:tblPr>
        <w:tblW w:w="14547" w:type="dxa"/>
        <w:tblLook w:val="04A0" w:firstRow="1" w:lastRow="0" w:firstColumn="1" w:lastColumn="0" w:noHBand="0" w:noVBand="1"/>
      </w:tblPr>
      <w:tblGrid>
        <w:gridCol w:w="4664"/>
        <w:gridCol w:w="4800"/>
        <w:gridCol w:w="283"/>
        <w:gridCol w:w="4800"/>
      </w:tblGrid>
      <w:tr w:rsidR="00F9531B" w:rsidTr="00F9531B">
        <w:tc>
          <w:tcPr>
            <w:tcW w:w="9464" w:type="dxa"/>
            <w:gridSpan w:val="2"/>
          </w:tcPr>
          <w:p w:rsidR="00F9531B" w:rsidRDefault="00F9531B" w:rsidP="008264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 комиссии                                                         </w:t>
            </w:r>
            <w:r w:rsidR="00306FF1">
              <w:rPr>
                <w:sz w:val="26"/>
                <w:szCs w:val="26"/>
              </w:rPr>
              <w:t>Н.С. Горбачева</w:t>
            </w:r>
          </w:p>
          <w:p w:rsidR="00F9531B" w:rsidRDefault="00F9531B" w:rsidP="0082641A">
            <w:pPr>
              <w:spacing w:line="276" w:lineRule="auto"/>
              <w:rPr>
                <w:sz w:val="26"/>
                <w:szCs w:val="26"/>
              </w:rPr>
            </w:pPr>
          </w:p>
          <w:p w:rsidR="00F9531B" w:rsidRDefault="00F9531B" w:rsidP="0082641A">
            <w:pPr>
              <w:tabs>
                <w:tab w:val="left" w:pos="6078"/>
                <w:tab w:val="left" w:pos="6494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  <w:r>
              <w:rPr>
                <w:sz w:val="26"/>
                <w:szCs w:val="26"/>
              </w:rPr>
              <w:tab/>
              <w:t xml:space="preserve">      </w:t>
            </w:r>
            <w:r w:rsidR="00306FF1">
              <w:rPr>
                <w:sz w:val="26"/>
                <w:szCs w:val="26"/>
              </w:rPr>
              <w:t>Г.В. Никитина</w:t>
            </w:r>
          </w:p>
        </w:tc>
        <w:tc>
          <w:tcPr>
            <w:tcW w:w="5083" w:type="dxa"/>
            <w:gridSpan w:val="2"/>
          </w:tcPr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531B" w:rsidRDefault="00F9531B" w:rsidP="0082641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</w:tc>
      </w:tr>
      <w:tr w:rsidR="00F9531B" w:rsidTr="00F9531B">
        <w:tc>
          <w:tcPr>
            <w:tcW w:w="9464" w:type="dxa"/>
            <w:gridSpan w:val="2"/>
          </w:tcPr>
          <w:p w:rsidR="00F9531B" w:rsidRDefault="00F9531B">
            <w:pPr>
              <w:rPr>
                <w:sz w:val="26"/>
                <w:szCs w:val="26"/>
              </w:rPr>
            </w:pPr>
          </w:p>
          <w:p w:rsidR="00306FF1" w:rsidRDefault="00306FF1">
            <w:pPr>
              <w:rPr>
                <w:sz w:val="26"/>
                <w:szCs w:val="26"/>
              </w:rPr>
            </w:pPr>
          </w:p>
          <w:p w:rsidR="00306FF1" w:rsidRDefault="00306FF1">
            <w:pPr>
              <w:rPr>
                <w:sz w:val="26"/>
                <w:szCs w:val="26"/>
              </w:rPr>
            </w:pPr>
          </w:p>
          <w:p w:rsidR="00306FF1" w:rsidRDefault="00306FF1">
            <w:pPr>
              <w:rPr>
                <w:sz w:val="26"/>
                <w:szCs w:val="26"/>
              </w:rPr>
            </w:pPr>
          </w:p>
          <w:p w:rsidR="00306FF1" w:rsidRDefault="00306FF1">
            <w:pPr>
              <w:rPr>
                <w:sz w:val="26"/>
                <w:szCs w:val="26"/>
              </w:rPr>
            </w:pPr>
          </w:p>
        </w:tc>
        <w:tc>
          <w:tcPr>
            <w:tcW w:w="5083" w:type="dxa"/>
            <w:gridSpan w:val="2"/>
            <w:hideMark/>
          </w:tcPr>
          <w:p w:rsidR="00F9531B" w:rsidRDefault="00F9531B">
            <w:pPr>
              <w:rPr>
                <w:sz w:val="20"/>
                <w:szCs w:val="20"/>
              </w:rPr>
            </w:pPr>
          </w:p>
        </w:tc>
      </w:tr>
      <w:tr w:rsidR="00F9531B" w:rsidTr="00F9531B">
        <w:trPr>
          <w:gridAfter w:val="1"/>
          <w:wAfter w:w="4800" w:type="dxa"/>
        </w:trPr>
        <w:tc>
          <w:tcPr>
            <w:tcW w:w="4664" w:type="dxa"/>
          </w:tcPr>
          <w:p w:rsidR="00F9531B" w:rsidRDefault="00F9531B">
            <w:pPr>
              <w:rPr>
                <w:sz w:val="26"/>
                <w:szCs w:val="26"/>
              </w:rPr>
            </w:pPr>
          </w:p>
        </w:tc>
        <w:tc>
          <w:tcPr>
            <w:tcW w:w="5083" w:type="dxa"/>
            <w:gridSpan w:val="2"/>
            <w:hideMark/>
          </w:tcPr>
          <w:p w:rsidR="00F9531B" w:rsidRDefault="00F9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</w:tc>
      </w:tr>
      <w:tr w:rsidR="00F9531B" w:rsidTr="00F9531B">
        <w:trPr>
          <w:gridAfter w:val="1"/>
          <w:wAfter w:w="4800" w:type="dxa"/>
          <w:trHeight w:val="319"/>
        </w:trPr>
        <w:tc>
          <w:tcPr>
            <w:tcW w:w="4664" w:type="dxa"/>
          </w:tcPr>
          <w:p w:rsidR="00F9531B" w:rsidRDefault="00F9531B">
            <w:pPr>
              <w:rPr>
                <w:sz w:val="26"/>
                <w:szCs w:val="26"/>
              </w:rPr>
            </w:pPr>
          </w:p>
        </w:tc>
        <w:tc>
          <w:tcPr>
            <w:tcW w:w="5083" w:type="dxa"/>
            <w:gridSpan w:val="2"/>
            <w:hideMark/>
          </w:tcPr>
          <w:p w:rsidR="00F9531B" w:rsidRDefault="00F9531B" w:rsidP="0030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территориальной избирательной  комиссии</w:t>
            </w:r>
            <w:r w:rsidR="00306FF1">
              <w:rPr>
                <w:sz w:val="26"/>
                <w:szCs w:val="26"/>
              </w:rPr>
              <w:t xml:space="preserve"> Михайловского </w:t>
            </w:r>
            <w:r>
              <w:rPr>
                <w:sz w:val="26"/>
                <w:szCs w:val="26"/>
              </w:rPr>
              <w:t xml:space="preserve">  района </w:t>
            </w:r>
          </w:p>
        </w:tc>
      </w:tr>
      <w:tr w:rsidR="00F9531B" w:rsidTr="00F9531B">
        <w:trPr>
          <w:gridAfter w:val="1"/>
          <w:wAfter w:w="4800" w:type="dxa"/>
        </w:trPr>
        <w:tc>
          <w:tcPr>
            <w:tcW w:w="4664" w:type="dxa"/>
          </w:tcPr>
          <w:p w:rsidR="00F9531B" w:rsidRDefault="00F9531B">
            <w:pPr>
              <w:rPr>
                <w:sz w:val="26"/>
                <w:szCs w:val="26"/>
              </w:rPr>
            </w:pPr>
          </w:p>
        </w:tc>
        <w:tc>
          <w:tcPr>
            <w:tcW w:w="5083" w:type="dxa"/>
            <w:gridSpan w:val="2"/>
            <w:hideMark/>
          </w:tcPr>
          <w:p w:rsidR="00F9531B" w:rsidRDefault="00F9531B" w:rsidP="0030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82641A">
              <w:rPr>
                <w:sz w:val="26"/>
                <w:szCs w:val="26"/>
              </w:rPr>
              <w:t>02.03.2015 г. №431/86</w:t>
            </w:r>
          </w:p>
        </w:tc>
      </w:tr>
    </w:tbl>
    <w:p w:rsidR="00F9531B" w:rsidRDefault="00F9531B" w:rsidP="00F9531B">
      <w:pPr>
        <w:jc w:val="center"/>
        <w:rPr>
          <w:sz w:val="28"/>
          <w:szCs w:val="28"/>
        </w:rPr>
      </w:pPr>
    </w:p>
    <w:p w:rsidR="00F9531B" w:rsidRDefault="00F9531B" w:rsidP="00F9531B">
      <w:pPr>
        <w:jc w:val="center"/>
        <w:rPr>
          <w:sz w:val="28"/>
          <w:szCs w:val="28"/>
        </w:rPr>
      </w:pPr>
    </w:p>
    <w:p w:rsidR="00F9531B" w:rsidRDefault="00F9531B" w:rsidP="00F9531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F9531B" w:rsidRDefault="00F9531B" w:rsidP="00F953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сведений о кандидатах на должность главы </w:t>
      </w:r>
      <w:proofErr w:type="spellStart"/>
      <w:r w:rsidR="00306FF1">
        <w:rPr>
          <w:sz w:val="28"/>
          <w:szCs w:val="28"/>
        </w:rPr>
        <w:t>Новошахтинского</w:t>
      </w:r>
      <w:proofErr w:type="spellEnd"/>
      <w:r w:rsidR="00306FF1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поселения, представленных при их выдвижении, подлежащих доведению до сведения избирателей при проведении досрочных выборов главы </w:t>
      </w:r>
      <w:proofErr w:type="spellStart"/>
      <w:r w:rsidR="00306FF1">
        <w:rPr>
          <w:sz w:val="28"/>
          <w:szCs w:val="28"/>
        </w:rPr>
        <w:t>Новошахтинского</w:t>
      </w:r>
      <w:proofErr w:type="spellEnd"/>
      <w:r w:rsidR="00306FF1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поселения </w:t>
      </w:r>
      <w:r w:rsidR="0082641A">
        <w:rPr>
          <w:sz w:val="28"/>
          <w:szCs w:val="28"/>
        </w:rPr>
        <w:t>Михайловского муниципального района Приморского края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306FF1" w:rsidRDefault="00306FF1" w:rsidP="00F9531B">
      <w:pPr>
        <w:jc w:val="center"/>
        <w:rPr>
          <w:sz w:val="28"/>
          <w:szCs w:val="28"/>
        </w:rPr>
      </w:pPr>
    </w:p>
    <w:p w:rsidR="00F9531B" w:rsidRDefault="00F9531B" w:rsidP="00F9531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Фамилия, имя, отчество; 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 случае отсутствия основного места работы или службы – род занятий).</w:t>
      </w:r>
      <w:proofErr w:type="gramEnd"/>
    </w:p>
    <w:p w:rsidR="00F9531B" w:rsidRDefault="00F9531B" w:rsidP="00F9531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F9531B" w:rsidRDefault="00F9531B" w:rsidP="00F9531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объединении), (если такие сведения указаны в заявлении о согласии </w:t>
      </w:r>
      <w:proofErr w:type="gramStart"/>
      <w:r>
        <w:rPr>
          <w:sz w:val="28"/>
        </w:rPr>
        <w:t>баллотироваться</w:t>
      </w:r>
      <w:proofErr w:type="gramEnd"/>
      <w:r>
        <w:rPr>
          <w:sz w:val="28"/>
        </w:rPr>
        <w:t>).</w:t>
      </w:r>
    </w:p>
    <w:p w:rsidR="00F9531B" w:rsidRDefault="00F9531B" w:rsidP="00F9531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Сведения о судимости кандидата.</w:t>
      </w:r>
    </w:p>
    <w:p w:rsidR="00F9531B" w:rsidRDefault="00F9531B" w:rsidP="00F9531B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8"/>
        </w:rPr>
        <w:t>5. Сведения о доходах и об имуществе кандидата,</w:t>
      </w:r>
      <w:r>
        <w:rPr>
          <w:szCs w:val="28"/>
        </w:rPr>
        <w:t xml:space="preserve"> </w:t>
      </w:r>
      <w:r>
        <w:rPr>
          <w:sz w:val="28"/>
          <w:szCs w:val="28"/>
        </w:rPr>
        <w:t>принадлежащем кандидату на праве собственности (в том числе совместной собственности)</w:t>
      </w:r>
      <w:r>
        <w:rPr>
          <w:sz w:val="26"/>
          <w:szCs w:val="26"/>
        </w:rPr>
        <w:t xml:space="preserve"> а также имеющаяся информация о фактах недостоверности представленных кандидатом сведений.</w:t>
      </w:r>
    </w:p>
    <w:p w:rsidR="00F9531B" w:rsidRDefault="00F9531B" w:rsidP="00F9531B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    6. В биографические данные кандидатов включаются сведения о том, каким избирательным объединением выдвинут кандидат.</w:t>
      </w:r>
    </w:p>
    <w:p w:rsidR="00F9531B" w:rsidRDefault="00F9531B" w:rsidP="00F9531B">
      <w:pPr>
        <w:spacing w:line="360" w:lineRule="auto"/>
        <w:ind w:left="360"/>
        <w:jc w:val="both"/>
        <w:rPr>
          <w:b/>
          <w:sz w:val="26"/>
          <w:szCs w:val="26"/>
        </w:rPr>
      </w:pPr>
      <w:r>
        <w:rPr>
          <w:sz w:val="28"/>
        </w:rPr>
        <w:t xml:space="preserve">     7. Сведения о профессиональном образовании.</w:t>
      </w:r>
    </w:p>
    <w:sectPr w:rsidR="00F9531B" w:rsidSect="00F9531B">
      <w:pgSz w:w="11907" w:h="16840"/>
      <w:pgMar w:top="567" w:right="851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B"/>
    <w:rsid w:val="00306FF1"/>
    <w:rsid w:val="004328EC"/>
    <w:rsid w:val="00482A96"/>
    <w:rsid w:val="0082641A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531B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9531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-14">
    <w:name w:val="Т-14"/>
    <w:aliases w:val="5,текст14,Текст14-1,Текст 14-1,Т-1,Стиль12-1"/>
    <w:basedOn w:val="a"/>
    <w:rsid w:val="00F9531B"/>
    <w:pPr>
      <w:spacing w:line="360" w:lineRule="auto"/>
      <w:ind w:firstLine="720"/>
      <w:jc w:val="both"/>
    </w:pPr>
    <w:rPr>
      <w:sz w:val="28"/>
      <w:szCs w:val="28"/>
    </w:rPr>
  </w:style>
  <w:style w:type="character" w:styleId="a5">
    <w:name w:val="Strong"/>
    <w:basedOn w:val="a0"/>
    <w:qFormat/>
    <w:rsid w:val="00F953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53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531B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9531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-14">
    <w:name w:val="Т-14"/>
    <w:aliases w:val="5,текст14,Текст14-1,Текст 14-1,Т-1,Стиль12-1"/>
    <w:basedOn w:val="a"/>
    <w:rsid w:val="00F9531B"/>
    <w:pPr>
      <w:spacing w:line="360" w:lineRule="auto"/>
      <w:ind w:firstLine="720"/>
      <w:jc w:val="both"/>
    </w:pPr>
    <w:rPr>
      <w:sz w:val="28"/>
      <w:szCs w:val="28"/>
    </w:rPr>
  </w:style>
  <w:style w:type="character" w:styleId="a5">
    <w:name w:val="Strong"/>
    <w:basedOn w:val="a0"/>
    <w:qFormat/>
    <w:rsid w:val="00F953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53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2015-03-02T08:00:00Z</cp:lastPrinted>
  <dcterms:created xsi:type="dcterms:W3CDTF">2015-02-20T02:39:00Z</dcterms:created>
  <dcterms:modified xsi:type="dcterms:W3CDTF">2015-03-02T08:01:00Z</dcterms:modified>
</cp:coreProperties>
</file>